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80483" w14:textId="5E3E1F24" w:rsidR="00C3205D" w:rsidRPr="00C3205D" w:rsidRDefault="00C3205D" w:rsidP="00C3205D">
      <w:pPr>
        <w:shd w:val="clear" w:color="auto" w:fill="FFFFFF"/>
        <w:spacing w:before="100" w:beforeAutospacing="1" w:after="100" w:afterAutospacing="1" w:line="240" w:lineRule="auto"/>
        <w:outlineLvl w:val="1"/>
        <w:rPr>
          <w:rFonts w:ascii="Arial" w:eastAsia="Times New Roman" w:hAnsi="Arial" w:cs="Arial"/>
          <w:b/>
          <w:bCs/>
          <w:color w:val="333333"/>
          <w:sz w:val="36"/>
          <w:szCs w:val="36"/>
        </w:rPr>
      </w:pPr>
      <w:r w:rsidRPr="00C3205D">
        <w:rPr>
          <w:rFonts w:ascii="Arial" w:eastAsia="Times New Roman" w:hAnsi="Arial" w:cs="Arial"/>
          <w:b/>
          <w:bCs/>
          <w:color w:val="333333"/>
          <w:sz w:val="36"/>
          <w:szCs w:val="36"/>
        </w:rPr>
        <w:t>PPP Loan Forgiveness</w:t>
      </w:r>
      <w:r>
        <w:rPr>
          <w:rFonts w:ascii="Arial" w:eastAsia="Times New Roman" w:hAnsi="Arial" w:cs="Arial"/>
          <w:b/>
          <w:bCs/>
          <w:color w:val="333333"/>
          <w:sz w:val="36"/>
          <w:szCs w:val="36"/>
        </w:rPr>
        <w:t xml:space="preserve"> Overview</w:t>
      </w:r>
    </w:p>
    <w:p w14:paraId="46220C34" w14:textId="77777777" w:rsidR="00C3205D" w:rsidRPr="00C3205D" w:rsidRDefault="00C3205D" w:rsidP="00C3205D">
      <w:pPr>
        <w:shd w:val="clear" w:color="auto" w:fill="FFFFFF"/>
        <w:spacing w:before="100" w:beforeAutospacing="1" w:after="100" w:afterAutospacing="1" w:line="240" w:lineRule="auto"/>
        <w:rPr>
          <w:rFonts w:ascii="Arial" w:eastAsia="Times New Roman" w:hAnsi="Arial" w:cs="Arial"/>
          <w:color w:val="333333"/>
          <w:sz w:val="24"/>
          <w:szCs w:val="24"/>
        </w:rPr>
      </w:pPr>
      <w:r w:rsidRPr="00C3205D">
        <w:rPr>
          <w:rFonts w:ascii="Arial" w:eastAsia="Times New Roman" w:hAnsi="Arial" w:cs="Arial"/>
          <w:color w:val="333333"/>
          <w:sz w:val="24"/>
          <w:szCs w:val="24"/>
        </w:rPr>
        <w:t>Borrowers will have their loans forgiven if they use the money for designated expenses. Participants are eligible for loan forgiveness for the amounts spent on authorized expenses over the eight weeks after receiving the loan.</w:t>
      </w:r>
    </w:p>
    <w:p w14:paraId="233AEEF9" w14:textId="77777777" w:rsidR="00C3205D" w:rsidRPr="00C3205D" w:rsidRDefault="00C3205D" w:rsidP="00C3205D">
      <w:pPr>
        <w:shd w:val="clear" w:color="auto" w:fill="FFFFFF"/>
        <w:spacing w:before="100" w:beforeAutospacing="1" w:after="100" w:afterAutospacing="1" w:line="240" w:lineRule="auto"/>
        <w:rPr>
          <w:rFonts w:ascii="Arial" w:eastAsia="Times New Roman" w:hAnsi="Arial" w:cs="Arial"/>
          <w:color w:val="333333"/>
          <w:sz w:val="24"/>
          <w:szCs w:val="24"/>
        </w:rPr>
      </w:pPr>
      <w:r w:rsidRPr="00C3205D">
        <w:rPr>
          <w:rFonts w:ascii="Arial" w:eastAsia="Times New Roman" w:hAnsi="Arial" w:cs="Arial"/>
          <w:color w:val="333333"/>
          <w:sz w:val="24"/>
          <w:szCs w:val="24"/>
        </w:rPr>
        <w:t>The total payments for payroll over the eight weeks after the loan is disbursed may be forgivable. Mortgage interest, rent and utilities are also forgivable, up to 25% of the PPP loan.</w:t>
      </w:r>
    </w:p>
    <w:p w14:paraId="26EE9642" w14:textId="77777777" w:rsidR="00C3205D" w:rsidRPr="00C3205D" w:rsidRDefault="00C3205D" w:rsidP="00C3205D">
      <w:pPr>
        <w:shd w:val="clear" w:color="auto" w:fill="FFFFFF"/>
        <w:spacing w:before="100" w:beforeAutospacing="1" w:after="100" w:afterAutospacing="1" w:line="240" w:lineRule="auto"/>
        <w:rPr>
          <w:rFonts w:ascii="Arial" w:eastAsia="Times New Roman" w:hAnsi="Arial" w:cs="Arial"/>
          <w:color w:val="333333"/>
          <w:sz w:val="24"/>
          <w:szCs w:val="24"/>
        </w:rPr>
      </w:pPr>
      <w:r w:rsidRPr="00C3205D">
        <w:rPr>
          <w:rFonts w:ascii="Arial" w:eastAsia="Times New Roman" w:hAnsi="Arial" w:cs="Arial"/>
          <w:color w:val="333333"/>
          <w:sz w:val="24"/>
          <w:szCs w:val="24"/>
        </w:rPr>
        <w:t>To get the entire amount of the loan forgiven (assuming that at least 75% is spent on payroll and the rest on permitted expenses), you must meet two criteria. First, the full-time employee headcount cannot decline from average monthly levels during 2019 or during the past 12 months. If your business launched in the second half of 2019, you can use average headcounts from January 1, 2020 to February 29, 2020. If your business is seasonal, you can base your monthly averages on numbers from February 15, 2019, or March 1, 2019 to June 30, 2019.</w:t>
      </w:r>
    </w:p>
    <w:p w14:paraId="2A07269D" w14:textId="0024E5B9" w:rsidR="00C3205D" w:rsidRPr="00C3205D" w:rsidRDefault="00C3205D" w:rsidP="00C3205D">
      <w:pPr>
        <w:shd w:val="clear" w:color="auto" w:fill="FFFFFF"/>
        <w:spacing w:before="100" w:beforeAutospacing="1" w:after="100" w:afterAutospacing="1" w:line="240" w:lineRule="auto"/>
        <w:rPr>
          <w:rFonts w:ascii="Arial" w:eastAsia="Times New Roman" w:hAnsi="Arial" w:cs="Arial"/>
          <w:color w:val="333333"/>
          <w:sz w:val="24"/>
          <w:szCs w:val="24"/>
        </w:rPr>
      </w:pPr>
      <w:r w:rsidRPr="00C3205D">
        <w:rPr>
          <w:rFonts w:ascii="Arial" w:eastAsia="Times New Roman" w:hAnsi="Arial" w:cs="Arial"/>
          <w:color w:val="333333"/>
          <w:sz w:val="24"/>
          <w:szCs w:val="24"/>
        </w:rPr>
        <w:t>Second, for loans to become full grants, employers cannot cut salaries or wages. If they do, the forgiven amount will be reduced. Employers who already let workers go have until June 30 to re</w:t>
      </w:r>
      <w:r>
        <w:rPr>
          <w:rFonts w:ascii="Arial" w:eastAsia="Times New Roman" w:hAnsi="Arial" w:cs="Arial"/>
          <w:color w:val="333333"/>
          <w:sz w:val="24"/>
          <w:szCs w:val="24"/>
        </w:rPr>
        <w:t>-</w:t>
      </w:r>
      <w:r w:rsidRPr="00C3205D">
        <w:rPr>
          <w:rFonts w:ascii="Arial" w:eastAsia="Times New Roman" w:hAnsi="Arial" w:cs="Arial"/>
          <w:color w:val="333333"/>
          <w:sz w:val="24"/>
          <w:szCs w:val="24"/>
        </w:rPr>
        <w:t>staff.</w:t>
      </w:r>
    </w:p>
    <w:p w14:paraId="6F611732" w14:textId="77777777" w:rsidR="00C3205D" w:rsidRPr="00C3205D" w:rsidRDefault="00C3205D" w:rsidP="00C3205D">
      <w:pPr>
        <w:shd w:val="clear" w:color="auto" w:fill="FFFFFF"/>
        <w:spacing w:before="100" w:beforeAutospacing="1" w:after="100" w:afterAutospacing="1" w:line="240" w:lineRule="auto"/>
        <w:rPr>
          <w:rFonts w:ascii="Arial" w:eastAsia="Times New Roman" w:hAnsi="Arial" w:cs="Arial"/>
          <w:color w:val="333333"/>
          <w:sz w:val="24"/>
          <w:szCs w:val="24"/>
        </w:rPr>
      </w:pPr>
      <w:r w:rsidRPr="00C3205D">
        <w:rPr>
          <w:rFonts w:ascii="Arial" w:eastAsia="Times New Roman" w:hAnsi="Arial" w:cs="Arial"/>
          <w:color w:val="333333"/>
          <w:sz w:val="24"/>
          <w:szCs w:val="24"/>
        </w:rPr>
        <w:t>The SBA has yet to issue guidance on how a smaller staff or payroll will reduce the amount eligible for forgiveness. Accounting firms and law firms are offering different interpretations online. We will publish this information as soon as the SBA releases it.</w:t>
      </w:r>
    </w:p>
    <w:p w14:paraId="7AC3C1E9" w14:textId="77777777" w:rsidR="00C3205D" w:rsidRPr="00C3205D" w:rsidRDefault="00C3205D" w:rsidP="00C3205D">
      <w:pPr>
        <w:shd w:val="clear" w:color="auto" w:fill="FFFFFF"/>
        <w:spacing w:before="100" w:beforeAutospacing="1" w:after="100" w:afterAutospacing="1" w:line="240" w:lineRule="auto"/>
        <w:rPr>
          <w:rFonts w:ascii="Arial" w:eastAsia="Times New Roman" w:hAnsi="Arial" w:cs="Arial"/>
          <w:color w:val="333333"/>
          <w:sz w:val="24"/>
          <w:szCs w:val="24"/>
        </w:rPr>
      </w:pPr>
      <w:r w:rsidRPr="00C3205D">
        <w:rPr>
          <w:rFonts w:ascii="Arial" w:eastAsia="Times New Roman" w:hAnsi="Arial" w:cs="Arial"/>
          <w:color w:val="333333"/>
          <w:sz w:val="24"/>
          <w:szCs w:val="24"/>
        </w:rPr>
        <w:t>Another provision of the program allows borrowers who already have disaster assistance loans to defer payments through Dec. 31. This is an automatic deferment. Borrowers don’t have to do anything to qualify for it.</w:t>
      </w:r>
    </w:p>
    <w:p w14:paraId="42F30573" w14:textId="103DA3B7" w:rsidR="00C3205D" w:rsidRDefault="00C3205D" w:rsidP="00C3205D">
      <w:pPr>
        <w:shd w:val="clear" w:color="auto" w:fill="FFFFFF"/>
        <w:spacing w:before="100" w:beforeAutospacing="1" w:after="100" w:afterAutospacing="1" w:line="240" w:lineRule="auto"/>
        <w:rPr>
          <w:rFonts w:ascii="Arial" w:eastAsia="Times New Roman" w:hAnsi="Arial" w:cs="Arial"/>
          <w:color w:val="333333"/>
          <w:sz w:val="24"/>
          <w:szCs w:val="24"/>
        </w:rPr>
      </w:pPr>
      <w:r w:rsidRPr="00C3205D">
        <w:rPr>
          <w:rFonts w:ascii="Arial" w:eastAsia="Times New Roman" w:hAnsi="Arial" w:cs="Arial"/>
          <w:color w:val="333333"/>
          <w:sz w:val="24"/>
          <w:szCs w:val="24"/>
        </w:rPr>
        <w:t>The SBA has a </w:t>
      </w:r>
      <w:hyperlink r:id="rId8" w:history="1">
        <w:r w:rsidRPr="00C3205D">
          <w:rPr>
            <w:rFonts w:ascii="Arial" w:eastAsia="Times New Roman" w:hAnsi="Arial" w:cs="Arial"/>
            <w:color w:val="20A7E2"/>
            <w:sz w:val="24"/>
            <w:szCs w:val="24"/>
            <w:u w:val="single"/>
          </w:rPr>
          <w:t>summary of loan terms here</w:t>
        </w:r>
      </w:hyperlink>
      <w:r w:rsidRPr="00C3205D">
        <w:rPr>
          <w:rFonts w:ascii="Arial" w:eastAsia="Times New Roman" w:hAnsi="Arial" w:cs="Arial"/>
          <w:color w:val="333333"/>
          <w:sz w:val="24"/>
          <w:szCs w:val="24"/>
        </w:rPr>
        <w:t>.</w:t>
      </w:r>
    </w:p>
    <w:p w14:paraId="27BE4BB8" w14:textId="746B60D5" w:rsidR="00C3205D" w:rsidRDefault="00C3205D" w:rsidP="00C3205D">
      <w:pPr>
        <w:shd w:val="clear" w:color="auto" w:fill="FFFFFF"/>
        <w:spacing w:before="100" w:beforeAutospacing="1" w:after="100" w:afterAutospacing="1" w:line="240" w:lineRule="auto"/>
        <w:rPr>
          <w:rFonts w:ascii="Arial" w:eastAsia="Times New Roman" w:hAnsi="Arial" w:cs="Arial"/>
          <w:b/>
          <w:color w:val="333333"/>
          <w:sz w:val="36"/>
          <w:szCs w:val="36"/>
        </w:rPr>
      </w:pPr>
      <w:r w:rsidRPr="00C3205D">
        <w:rPr>
          <w:rFonts w:ascii="Arial" w:eastAsia="Times New Roman" w:hAnsi="Arial" w:cs="Arial"/>
          <w:b/>
          <w:color w:val="333333"/>
          <w:sz w:val="36"/>
          <w:szCs w:val="36"/>
        </w:rPr>
        <w:t>PPP Loan Forgiveness Q&amp;A</w:t>
      </w:r>
    </w:p>
    <w:p w14:paraId="73E1B606" w14:textId="77777777" w:rsidR="00C3205D" w:rsidRPr="00C3205D" w:rsidRDefault="00C3205D" w:rsidP="00C3205D">
      <w:pPr>
        <w:shd w:val="clear" w:color="auto" w:fill="FFFFFF"/>
        <w:spacing w:before="100" w:beforeAutospacing="1" w:after="100" w:afterAutospacing="1" w:line="240" w:lineRule="auto"/>
        <w:rPr>
          <w:rFonts w:ascii="Arial" w:eastAsia="Times New Roman" w:hAnsi="Arial" w:cs="Arial"/>
          <w:b/>
          <w:i/>
          <w:color w:val="333333"/>
          <w:sz w:val="24"/>
          <w:szCs w:val="24"/>
        </w:rPr>
      </w:pPr>
      <w:r w:rsidRPr="00C3205D">
        <w:rPr>
          <w:rFonts w:ascii="Arial" w:eastAsia="Times New Roman" w:hAnsi="Arial" w:cs="Arial"/>
          <w:b/>
          <w:i/>
          <w:color w:val="333333"/>
          <w:sz w:val="24"/>
          <w:szCs w:val="24"/>
        </w:rPr>
        <w:t>What counts as payroll costs? Payroll costs include:</w:t>
      </w:r>
    </w:p>
    <w:p w14:paraId="68F33492" w14:textId="683EC388" w:rsidR="00C3205D" w:rsidRPr="00C3205D" w:rsidRDefault="00C3205D" w:rsidP="00C3205D">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C3205D">
        <w:rPr>
          <w:rFonts w:ascii="Arial" w:eastAsia="Times New Roman" w:hAnsi="Arial" w:cs="Arial"/>
          <w:color w:val="333333"/>
          <w:sz w:val="24"/>
          <w:szCs w:val="24"/>
        </w:rPr>
        <w:t>Salary, wages, commissions, or tips (capped at $100,000 on an annualized basis for each</w:t>
      </w:r>
      <w:r w:rsidRPr="00C3205D">
        <w:rPr>
          <w:rFonts w:ascii="Arial" w:eastAsia="Times New Roman" w:hAnsi="Arial" w:cs="Arial"/>
          <w:color w:val="333333"/>
          <w:sz w:val="24"/>
          <w:szCs w:val="24"/>
        </w:rPr>
        <w:t xml:space="preserve"> </w:t>
      </w:r>
      <w:r w:rsidRPr="00C3205D">
        <w:rPr>
          <w:rFonts w:ascii="Arial" w:eastAsia="Times New Roman" w:hAnsi="Arial" w:cs="Arial"/>
          <w:color w:val="333333"/>
          <w:sz w:val="24"/>
          <w:szCs w:val="24"/>
        </w:rPr>
        <w:t>employee);</w:t>
      </w:r>
    </w:p>
    <w:p w14:paraId="12F7648B" w14:textId="19E890DA" w:rsidR="00C3205D" w:rsidRPr="00C3205D" w:rsidRDefault="00C3205D" w:rsidP="00F268C7">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C3205D">
        <w:rPr>
          <w:rFonts w:ascii="Arial" w:eastAsia="Times New Roman" w:hAnsi="Arial" w:cs="Arial"/>
          <w:color w:val="333333"/>
          <w:sz w:val="24"/>
          <w:szCs w:val="24"/>
        </w:rPr>
        <w:t>Employee benefits including costs for vacation, parental, family, medical, or sick leave;</w:t>
      </w:r>
      <w:r w:rsidRPr="00C3205D">
        <w:rPr>
          <w:rFonts w:ascii="Arial" w:eastAsia="Times New Roman" w:hAnsi="Arial" w:cs="Arial"/>
          <w:color w:val="333333"/>
          <w:sz w:val="24"/>
          <w:szCs w:val="24"/>
        </w:rPr>
        <w:t xml:space="preserve"> </w:t>
      </w:r>
      <w:r w:rsidRPr="00C3205D">
        <w:rPr>
          <w:rFonts w:ascii="Arial" w:eastAsia="Times New Roman" w:hAnsi="Arial" w:cs="Arial"/>
          <w:color w:val="333333"/>
          <w:sz w:val="24"/>
          <w:szCs w:val="24"/>
        </w:rPr>
        <w:t>allowance for separation or dismissal; payments required for the provisions of group</w:t>
      </w:r>
      <w:r w:rsidRPr="00C3205D">
        <w:rPr>
          <w:rFonts w:ascii="Arial" w:eastAsia="Times New Roman" w:hAnsi="Arial" w:cs="Arial"/>
          <w:color w:val="333333"/>
          <w:sz w:val="24"/>
          <w:szCs w:val="24"/>
        </w:rPr>
        <w:t xml:space="preserve"> </w:t>
      </w:r>
      <w:r w:rsidRPr="00C3205D">
        <w:rPr>
          <w:rFonts w:ascii="Arial" w:eastAsia="Times New Roman" w:hAnsi="Arial" w:cs="Arial"/>
          <w:color w:val="333333"/>
          <w:sz w:val="24"/>
          <w:szCs w:val="24"/>
        </w:rPr>
        <w:t>health care benefits including insurance premiums; and payment of any retirement</w:t>
      </w:r>
      <w:r>
        <w:rPr>
          <w:rFonts w:ascii="Arial" w:eastAsia="Times New Roman" w:hAnsi="Arial" w:cs="Arial"/>
          <w:color w:val="333333"/>
          <w:sz w:val="24"/>
          <w:szCs w:val="24"/>
        </w:rPr>
        <w:t xml:space="preserve"> </w:t>
      </w:r>
      <w:r w:rsidRPr="00C3205D">
        <w:rPr>
          <w:rFonts w:ascii="Arial" w:eastAsia="Times New Roman" w:hAnsi="Arial" w:cs="Arial"/>
          <w:color w:val="333333"/>
          <w:sz w:val="24"/>
          <w:szCs w:val="24"/>
        </w:rPr>
        <w:t>benefit;</w:t>
      </w:r>
    </w:p>
    <w:p w14:paraId="37D8D9A6" w14:textId="65E12935" w:rsidR="00C3205D" w:rsidRPr="00C3205D" w:rsidRDefault="00C3205D" w:rsidP="00C3205D">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C3205D">
        <w:rPr>
          <w:rFonts w:ascii="Arial" w:eastAsia="Times New Roman" w:hAnsi="Arial" w:cs="Arial"/>
          <w:color w:val="333333"/>
          <w:sz w:val="24"/>
          <w:szCs w:val="24"/>
        </w:rPr>
        <w:t>State and local taxes assessed on compensation; and</w:t>
      </w:r>
    </w:p>
    <w:p w14:paraId="6D41592D" w14:textId="78931E80" w:rsidR="00C3205D" w:rsidRPr="00C3205D" w:rsidRDefault="00C3205D" w:rsidP="00EA7D21">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C3205D">
        <w:rPr>
          <w:rFonts w:ascii="Arial" w:eastAsia="Times New Roman" w:hAnsi="Arial" w:cs="Arial"/>
          <w:color w:val="333333"/>
          <w:sz w:val="24"/>
          <w:szCs w:val="24"/>
        </w:rPr>
        <w:lastRenderedPageBreak/>
        <w:t>For a sole proprietor or independent contractor: wages, commissions, income, or net</w:t>
      </w:r>
      <w:r w:rsidRPr="00C3205D">
        <w:rPr>
          <w:rFonts w:ascii="Arial" w:eastAsia="Times New Roman" w:hAnsi="Arial" w:cs="Arial"/>
          <w:color w:val="333333"/>
          <w:sz w:val="24"/>
          <w:szCs w:val="24"/>
        </w:rPr>
        <w:t xml:space="preserve"> </w:t>
      </w:r>
      <w:r w:rsidRPr="00C3205D">
        <w:rPr>
          <w:rFonts w:ascii="Arial" w:eastAsia="Times New Roman" w:hAnsi="Arial" w:cs="Arial"/>
          <w:color w:val="333333"/>
          <w:sz w:val="24"/>
          <w:szCs w:val="24"/>
        </w:rPr>
        <w:t>earnings from self-employment, capped at $100,000 on an annualized basis for each</w:t>
      </w:r>
      <w:r>
        <w:rPr>
          <w:rFonts w:ascii="Arial" w:eastAsia="Times New Roman" w:hAnsi="Arial" w:cs="Arial"/>
          <w:color w:val="333333"/>
          <w:sz w:val="24"/>
          <w:szCs w:val="24"/>
        </w:rPr>
        <w:t xml:space="preserve"> </w:t>
      </w:r>
      <w:r w:rsidRPr="00C3205D">
        <w:rPr>
          <w:rFonts w:ascii="Arial" w:eastAsia="Times New Roman" w:hAnsi="Arial" w:cs="Arial"/>
          <w:color w:val="333333"/>
          <w:sz w:val="24"/>
          <w:szCs w:val="24"/>
        </w:rPr>
        <w:t>employee.</w:t>
      </w:r>
    </w:p>
    <w:p w14:paraId="7F06FF8A" w14:textId="77777777" w:rsidR="00C3205D" w:rsidRPr="00C3205D" w:rsidRDefault="00C3205D" w:rsidP="00C3205D">
      <w:pPr>
        <w:shd w:val="clear" w:color="auto" w:fill="FFFFFF"/>
        <w:spacing w:before="100" w:beforeAutospacing="1" w:after="100" w:afterAutospacing="1" w:line="240" w:lineRule="auto"/>
        <w:rPr>
          <w:rFonts w:ascii="Arial" w:eastAsia="Times New Roman" w:hAnsi="Arial" w:cs="Arial"/>
          <w:b/>
          <w:i/>
          <w:color w:val="333333"/>
          <w:sz w:val="24"/>
          <w:szCs w:val="24"/>
        </w:rPr>
      </w:pPr>
      <w:r w:rsidRPr="00C3205D">
        <w:rPr>
          <w:rFonts w:ascii="Arial" w:eastAsia="Times New Roman" w:hAnsi="Arial" w:cs="Arial"/>
          <w:b/>
          <w:i/>
          <w:color w:val="333333"/>
          <w:sz w:val="24"/>
          <w:szCs w:val="24"/>
        </w:rPr>
        <w:t xml:space="preserve">Does the PPP cover </w:t>
      </w:r>
      <w:proofErr w:type="gramStart"/>
      <w:r w:rsidRPr="00C3205D">
        <w:rPr>
          <w:rFonts w:ascii="Arial" w:eastAsia="Times New Roman" w:hAnsi="Arial" w:cs="Arial"/>
          <w:b/>
          <w:i/>
          <w:color w:val="333333"/>
          <w:sz w:val="24"/>
          <w:szCs w:val="24"/>
        </w:rPr>
        <w:t>paid</w:t>
      </w:r>
      <w:proofErr w:type="gramEnd"/>
      <w:r w:rsidRPr="00C3205D">
        <w:rPr>
          <w:rFonts w:ascii="Arial" w:eastAsia="Times New Roman" w:hAnsi="Arial" w:cs="Arial"/>
          <w:b/>
          <w:i/>
          <w:color w:val="333333"/>
          <w:sz w:val="24"/>
          <w:szCs w:val="24"/>
        </w:rPr>
        <w:t xml:space="preserve"> sick leave?</w:t>
      </w:r>
    </w:p>
    <w:p w14:paraId="229ECA2F" w14:textId="6989FF23" w:rsidR="00C3205D" w:rsidRPr="00C3205D" w:rsidRDefault="00C3205D" w:rsidP="00C3205D">
      <w:pPr>
        <w:shd w:val="clear" w:color="auto" w:fill="FFFFFF"/>
        <w:spacing w:before="100" w:beforeAutospacing="1" w:after="100" w:afterAutospacing="1" w:line="240" w:lineRule="auto"/>
        <w:rPr>
          <w:rFonts w:ascii="Arial" w:eastAsia="Times New Roman" w:hAnsi="Arial" w:cs="Arial"/>
          <w:color w:val="333333"/>
          <w:sz w:val="24"/>
          <w:szCs w:val="24"/>
        </w:rPr>
      </w:pPr>
      <w:r w:rsidRPr="00C3205D">
        <w:rPr>
          <w:rFonts w:ascii="Arial" w:eastAsia="Times New Roman" w:hAnsi="Arial" w:cs="Arial"/>
          <w:color w:val="333333"/>
          <w:sz w:val="24"/>
          <w:szCs w:val="24"/>
        </w:rPr>
        <w:t>Yes, the PPP covers payroll costs, which include employee benefits such as costs for parental,</w:t>
      </w:r>
      <w:r>
        <w:rPr>
          <w:rFonts w:ascii="Arial" w:eastAsia="Times New Roman" w:hAnsi="Arial" w:cs="Arial"/>
          <w:color w:val="333333"/>
          <w:sz w:val="24"/>
          <w:szCs w:val="24"/>
        </w:rPr>
        <w:t xml:space="preserve"> </w:t>
      </w:r>
      <w:r w:rsidRPr="00C3205D">
        <w:rPr>
          <w:rFonts w:ascii="Arial" w:eastAsia="Times New Roman" w:hAnsi="Arial" w:cs="Arial"/>
          <w:color w:val="333333"/>
          <w:sz w:val="24"/>
          <w:szCs w:val="24"/>
        </w:rPr>
        <w:t>family, medical, or sick leave. However, it is worth noting that the CARES Act expressly</w:t>
      </w:r>
      <w:r>
        <w:rPr>
          <w:rFonts w:ascii="Arial" w:eastAsia="Times New Roman" w:hAnsi="Arial" w:cs="Arial"/>
          <w:color w:val="333333"/>
          <w:sz w:val="24"/>
          <w:szCs w:val="24"/>
        </w:rPr>
        <w:t xml:space="preserve"> </w:t>
      </w:r>
      <w:r w:rsidRPr="00C3205D">
        <w:rPr>
          <w:rFonts w:ascii="Arial" w:eastAsia="Times New Roman" w:hAnsi="Arial" w:cs="Arial"/>
          <w:color w:val="333333"/>
          <w:sz w:val="24"/>
          <w:szCs w:val="24"/>
        </w:rPr>
        <w:t>excludes qualified sick and family leave wages for which a credit is allowed under sections 7001</w:t>
      </w:r>
      <w:r>
        <w:rPr>
          <w:rFonts w:ascii="Arial" w:eastAsia="Times New Roman" w:hAnsi="Arial" w:cs="Arial"/>
          <w:color w:val="333333"/>
          <w:sz w:val="24"/>
          <w:szCs w:val="24"/>
        </w:rPr>
        <w:t xml:space="preserve"> </w:t>
      </w:r>
      <w:r w:rsidRPr="00C3205D">
        <w:rPr>
          <w:rFonts w:ascii="Arial" w:eastAsia="Times New Roman" w:hAnsi="Arial" w:cs="Arial"/>
          <w:color w:val="333333"/>
          <w:sz w:val="24"/>
          <w:szCs w:val="24"/>
        </w:rPr>
        <w:t>and 7003 of the Families First Coronavirus Response Act (FFCRA) (Public Law 116–127).</w:t>
      </w:r>
    </w:p>
    <w:p w14:paraId="70DB6C15" w14:textId="722491B5" w:rsidR="00C3205D" w:rsidRDefault="00C3205D" w:rsidP="00C3205D">
      <w:pPr>
        <w:shd w:val="clear" w:color="auto" w:fill="FFFFFF"/>
        <w:spacing w:before="100" w:beforeAutospacing="1" w:after="100" w:afterAutospacing="1" w:line="240" w:lineRule="auto"/>
        <w:rPr>
          <w:rFonts w:ascii="Arial" w:eastAsia="Times New Roman" w:hAnsi="Arial" w:cs="Arial"/>
          <w:color w:val="333333"/>
          <w:sz w:val="24"/>
          <w:szCs w:val="24"/>
        </w:rPr>
      </w:pPr>
      <w:r w:rsidRPr="00C3205D">
        <w:rPr>
          <w:rFonts w:ascii="Arial" w:eastAsia="Times New Roman" w:hAnsi="Arial" w:cs="Arial"/>
          <w:color w:val="333333"/>
          <w:sz w:val="24"/>
          <w:szCs w:val="24"/>
        </w:rPr>
        <w:t xml:space="preserve">Learn more about the FFCRA’s Paid Sick Leave Refundable Credit </w:t>
      </w:r>
      <w:hyperlink r:id="rId9" w:history="1">
        <w:r w:rsidRPr="00C3205D">
          <w:rPr>
            <w:rStyle w:val="Hyperlink"/>
            <w:rFonts w:ascii="Arial" w:eastAsia="Times New Roman" w:hAnsi="Arial" w:cs="Arial"/>
            <w:sz w:val="24"/>
            <w:szCs w:val="24"/>
          </w:rPr>
          <w:t>online.</w:t>
        </w:r>
      </w:hyperlink>
    </w:p>
    <w:p w14:paraId="7FF6C815" w14:textId="3AF54704" w:rsidR="00D846A2" w:rsidRPr="00C3205D" w:rsidRDefault="00D846A2" w:rsidP="00C3205D">
      <w:p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4-22-20  Source:  Smartasset.com</w:t>
      </w:r>
      <w:bookmarkStart w:id="0" w:name="_GoBack"/>
      <w:bookmarkEnd w:id="0"/>
    </w:p>
    <w:p w14:paraId="4FD2C8A2" w14:textId="422727BB" w:rsidR="00F715B5" w:rsidRPr="00C3205D" w:rsidRDefault="00F715B5" w:rsidP="00C3205D">
      <w:pPr>
        <w:rPr>
          <w:sz w:val="24"/>
          <w:szCs w:val="24"/>
        </w:rPr>
      </w:pPr>
    </w:p>
    <w:sectPr w:rsidR="00F715B5" w:rsidRPr="00C32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F1422"/>
    <w:multiLevelType w:val="hybridMultilevel"/>
    <w:tmpl w:val="DED8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93"/>
    <w:rsid w:val="00650A93"/>
    <w:rsid w:val="00C3205D"/>
    <w:rsid w:val="00D846A2"/>
    <w:rsid w:val="00F7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BCAA"/>
  <w15:chartTrackingRefBased/>
  <w15:docId w15:val="{30830657-5D70-4FD5-AF87-9559B717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05D"/>
    <w:pPr>
      <w:ind w:left="720"/>
      <w:contextualSpacing/>
    </w:pPr>
  </w:style>
  <w:style w:type="character" w:styleId="Hyperlink">
    <w:name w:val="Hyperlink"/>
    <w:basedOn w:val="DefaultParagraphFont"/>
    <w:uiPriority w:val="99"/>
    <w:unhideWhenUsed/>
    <w:rsid w:val="00C3205D"/>
    <w:rPr>
      <w:color w:val="0563C1" w:themeColor="hyperlink"/>
      <w:u w:val="single"/>
    </w:rPr>
  </w:style>
  <w:style w:type="character" w:styleId="UnresolvedMention">
    <w:name w:val="Unresolved Mention"/>
    <w:basedOn w:val="DefaultParagraphFont"/>
    <w:uiPriority w:val="99"/>
    <w:semiHidden/>
    <w:unhideWhenUsed/>
    <w:rsid w:val="00C32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3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system/files/136/PPP--Fact-Shee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rs.gov/newsroom/covid-19-related-tax-credits-for-required-paid-leave-provided-by-small-and-midsize-businesse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4CCE2AD9E2A43A573A4072DFF0B33" ma:contentTypeVersion="13" ma:contentTypeDescription="Create a new document." ma:contentTypeScope="" ma:versionID="9670a7cc5cb346fb610c27d7c22330a3">
  <xsd:schema xmlns:xsd="http://www.w3.org/2001/XMLSchema" xmlns:xs="http://www.w3.org/2001/XMLSchema" xmlns:p="http://schemas.microsoft.com/office/2006/metadata/properties" xmlns:ns3="17093b63-fc58-4d45-8d0a-ef7846b29143" xmlns:ns4="19b29446-1fe9-4e0a-b0c0-98f3ae656092" targetNamespace="http://schemas.microsoft.com/office/2006/metadata/properties" ma:root="true" ma:fieldsID="15032e4aff56b920e413b8eed084bc9c" ns3:_="" ns4:_="">
    <xsd:import namespace="17093b63-fc58-4d45-8d0a-ef7846b29143"/>
    <xsd:import namespace="19b29446-1fe9-4e0a-b0c0-98f3ae6560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93b63-fc58-4d45-8d0a-ef7846b291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29446-1fe9-4e0a-b0c0-98f3ae6560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B40A3-5368-4C3B-9C6B-BF0A22CBB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93b63-fc58-4d45-8d0a-ef7846b29143"/>
    <ds:schemaRef ds:uri="19b29446-1fe9-4e0a-b0c0-98f3ae656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07BCF-B9FC-489E-A25E-76446BD44157}">
  <ds:schemaRefs>
    <ds:schemaRef ds:uri="http://schemas.microsoft.com/sharepoint/v3/contenttype/forms"/>
  </ds:schemaRefs>
</ds:datastoreItem>
</file>

<file path=customXml/itemProps3.xml><?xml version="1.0" encoding="utf-8"?>
<ds:datastoreItem xmlns:ds="http://schemas.openxmlformats.org/officeDocument/2006/customXml" ds:itemID="{80A1160F-25E3-4C34-A8A2-4DA9A0B2BF76}">
  <ds:schemaRefs>
    <ds:schemaRef ds:uri="http://purl.org/dc/dcmitype/"/>
    <ds:schemaRef ds:uri="http://www.w3.org/XML/1998/namespace"/>
    <ds:schemaRef ds:uri="http://schemas.openxmlformats.org/package/2006/metadata/core-properties"/>
    <ds:schemaRef ds:uri="http://schemas.microsoft.com/office/2006/documentManagement/types"/>
    <ds:schemaRef ds:uri="17093b63-fc58-4d45-8d0a-ef7846b29143"/>
    <ds:schemaRef ds:uri="http://purl.org/dc/terms/"/>
    <ds:schemaRef ds:uri="http://schemas.microsoft.com/office/2006/metadata/properties"/>
    <ds:schemaRef ds:uri="http://schemas.microsoft.com/office/infopath/2007/PartnerControls"/>
    <ds:schemaRef ds:uri="19b29446-1fe9-4e0a-b0c0-98f3ae65609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Miller</dc:creator>
  <cp:keywords/>
  <dc:description/>
  <cp:lastModifiedBy>Amy Miller</cp:lastModifiedBy>
  <cp:revision>1</cp:revision>
  <dcterms:created xsi:type="dcterms:W3CDTF">2020-04-22T18:18:00Z</dcterms:created>
  <dcterms:modified xsi:type="dcterms:W3CDTF">2020-04-22T19:12:00Z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0x0101009D94CCE2AD9E2A43A573A4072DFF0B33</vt:lpwstr>
  </property>
</Properties>
</file>